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111</w:t>
      </w:r>
    </w:p>
    <w:p>
      <w:r>
        <w:t>Bundesgericht (BGE), 2001-03-19, DE</w:t>
      </w:r>
    </w:p>
    <w:p>
      <w:r>
        <w:rPr>
          <w:b/>
        </w:rPr>
        <w:t xml:space="preserve">Quelle: </w:t>
      </w:r>
      <w:r>
        <w:t>https://mcp.opencaselaw.ch/entscheid/bge_130 V 111</w:t>
      </w:r>
    </w:p>
    <w:p>
      <w:r>
        <w:t>FR: ATF 130 V 111</w:t>
      </w:r>
    </w:p>
    <w:p>
      <w:r>
        <w:t>IT: DTF 130 V 111</w:t>
      </w:r>
    </w:p>
    <w:p>
      <w:pPr>
        <w:pStyle w:val="Heading2"/>
      </w:pPr>
      <w:r>
        <w:t>Regeste</w:t>
      </w:r>
    </w:p>
    <w:p>
      <w:r>
        <w:t>Regeste Art. 122 und 142 ZGB; Art. 22 und 25a FZG; Art. 73 BVG: Sachliche Zuständigkeit. Die sachliche Zuständigkeit des Sozialversicherungsgerichts zur Teilung von Austrittsleistungen im Scheidungsfall erstreckt sich auch auf Streitigkeiten mit Freizügigkeitseinrichtungen (Erw. 3).</w:t>
      </w:r>
    </w:p>
    <w:p>
      <w:pPr>
        <w:pStyle w:val="Heading2"/>
      </w:pPr>
      <w:r>
        <w:t>Erwägungen</w:t>
      </w:r>
    </w:p>
    <w:p>
      <w:r>
        <w:rPr>
          <w:b/>
        </w:rPr>
        <w:t>E. 3.1.1</w:t>
      </w:r>
    </w:p>
    <w:p>
      <w:r>
        <w:t>Gemäss Art. 73 BVG bezeichnet jeder Kanton als letzte kantonale Instanz ein Gericht, das über Streitigkeiten zwischen Vorsorgeeinrichtungen, Arbeitgebern und Anspruchsberechtigten entscheidet (Abs. 1 Satz 1). Die Entscheide der kantonalen Gerichte können auf dem Wege der Verwaltungsgerichtsbeschwerde beim Eidgenössischen Versicherungsgericht angefochten werden (Abs. 4).</w:t>
      </w:r>
    </w:p>
    <w:p>
      <w:r>
        <w:rPr>
          <w:b/>
        </w:rPr>
        <w:t>E. 3.1.2</w:t>
      </w:r>
    </w:p>
    <w:p>
      <w:r>
        <w:t>Die Zuständigkeit der in Art. 73 BVG genannten Gerichte ist an zwei Voraussetzungen geknüpft: BGE 130 V 111 S. 113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 bis Abs. 6 ZGB , welche im Bereich der beruflichen Vorsorge tätig sind ( BGE 128 II 389 Erw. 2.1.1, BGE 128 V 44 Erw. 1b, BGE 128 V 258 Erw. 2a, BGE 127 V 35 Erw. 3b mit Hinweisen).</w:t>
      </w:r>
    </w:p>
    <w:p>
      <w:r>
        <w:rPr>
          <w:b/>
        </w:rPr>
        <w:t>E. 3.1.3</w:t>
      </w:r>
    </w:p>
    <w:p>
      <w:r>
        <w:t>Nach der Rechtsprechung des Eidgenössischen Versicherungsgerichts ( BGE 122 V 320 ; SZS 1999 S. 48, BGE 122 V 1998 S. 122) steht der Rechtsweg nach Art. 73 BVG nicht offen, wenn zwischen einem Versicherten und einer Freizügigkeitseinrichtung (Bankstiftung, Versicherungseinrichtung) im Zusammenhang mit einer Freizügigkeitspolice oder einem Freizügigkeitskonto (vgl. dazu auch Art. 10 FZV ) Streitigkeiten entstehen, wie beispielsweise über die Höhe oder den Zeitpunkt der Auszahlung.</w:t>
      </w:r>
    </w:p>
    <w:p>
      <w:r>
        <w:rPr>
          <w:b/>
        </w:rPr>
        <w:t>E. 3.2.1</w:t>
      </w:r>
    </w:p>
    <w:p>
      <w:r>
        <w:t>Das kantonale Gericht hat für die Abgrenzung der sachlichen Zuständigkeit im Rahmen von Art. 22 und Art. 25a FZG auf BGE 130 V 111 S. 114 die erwähnte höchstrichterliche Rechtsprechung (Erw. 3.1.3 hievor) abgestellt, welche indessen unter der Herrschaft des bis 31. Dezember 1999 gültig gewesenen Scheidungsrechts ergangen ist. Mit In-Kraft-Treten des neuen Scheidungsrechts (Gesetzesänderung vom 26. Juni 1998) am 1. Januar 2000 sind die Aufteilung der Ansprüche aus der beruflichen Vorsorge unter den Ehegatten ( Art. 122 ff. ZGB ; Art. 22-22c FZG ) und das dabei zu beachtende Verfahren (Art. 141 f. ZGB; Art. 25a FZG ), namentlich die Zuständigkeit von Scheidungsgericht und Vorsorgegericht, neu geregelt worden.</w:t>
      </w:r>
    </w:p>
    <w:p>
      <w:r>
        <w:rPr>
          <w:b/>
        </w:rPr>
        <w:t>E. 3.2.2</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Dabei sind grundsätzlich sämtliche Ansprüche aus Vorsorgeverhältnissen zu teilen, die dem FZG unterstehen, somit auch Freizügigkeitspolicen oder Freizügigkeitskonti im Sinne von Art. 10 FZV ( BGE 128 V 45 Erw. 2b mit Hinweis auf BAUMANN/LAUTERBURG, in: SCHWENZER [Hrsg.], Praxiskommentar Scheidungsrecht, Basel 2000, N 45 f. zu Art. 122 ZGB ; THOMAS GEISER, Berufliche Vorsorge im neuen Scheidungsrecht, in: HAUSHEER [Hrsg.], Vom alten zum neuen Scheidungsrecht, Bern 1999, S. 65 N 2.20; HEINZ HAUSHEER, Die wesentlichen Neuerungen des neuen Scheidungsrechts, in: ZBJV 1999 S. 12 f.; SCHNEIDER/BRUCHEZ, La prévoyance professionnelle et le divorce, in: Le nouveau droit du divorce, Lausanne 2000, S. 214 f.; SUTTER/FREIBURGHAUS, Kommentar zum neuen Scheidungsrecht, Zürich 1999, S. 195 Rz 11 f.; HERMANN WALSER, Berufliche Vorsorge, in: Das neue Scheidungsrecht, Zürich 1999, S. 52). Dies kommt auch im Wortlaut von Art. 22 Abs. 2 FZG zum Ausdruck, wonach bei der Ermittlung der zu teilenden Austrittsleistung auch allfällige "Freizügigkeitsguthaben" ("avoirs de libre passage"; "averi di libero passaggio") zu berücksichtigen sind (vgl. dazu auch die Botschaft des Bundesrates über die Änderung des Schweizerischen Zivilgesetzbuches vom 15. November 1995, BBl 1996 I 106 unten). Von der Teilung nach Art. 122 ZGB werden mithin sämtliche Ansprüche aus den Säulen 2a und 2b (dazu BGE 129 III 305 ) erfasst. Nicht darunter fallen hingegen die Ansprüche aus der ersten und der dritten Säule (bundesrätliche Botschaft, a.a.O., S. 101 f.; SUTTER/FREIBURGHAUS, a.a.O., S. 179 Rz 14 f.; WALSER, Kommentar BGE 130 V 111 S. 115 zum Schweizerischen Privatrecht [Basler Kommentar], Zivilgesetzbuch I, Art. 1-456 ZGB , 2. Aufl., Basel 2002, N 4 zu Art. 122).</w:t>
      </w:r>
    </w:p>
    <w:p>
      <w:r>
        <w:rPr>
          <w:b/>
        </w:rPr>
        <w:t>E. 3.2.3</w:t>
      </w:r>
    </w:p>
    <w:p>
      <w:r>
        <w:t>Ist ein Anwendungsfall von Art. 122 ZGB gegeben und haben sich die Ehegatten über die Teilung der Austrittsleistungen sowie die Art der Durchführung der Teilung nicht geeinigt (vgl. Art. 141 Abs. 1 ZGB ), so entscheidet das Scheidungsgericht gemäss Art. 142 Abs. 1 ZGB über das Verhältnis, in welchem die Austrittsleistungen zu teilen sind. Sobald dieser Entscheid über das Teilungsverhältnis rechtskräftig ist, überweist das Scheidungsgericht die Streitsache von Amtes wegen dem nach dem FZG zuständigen Gericht ( Art. 142 Abs. 2 ZGB ). Dementsprechend bestimmt der mit der Scheidungsrechtsrevision eingefügte Art. 25a FZG , dass bei Nichteinigung der Ehegatten über die zu übertragende Austrittsleistung das am Ort der Scheidung nach Art. 73 Abs. 1 BVG zuständige Gericht gestützt auf den vom Scheidungsgericht bestimmten Teilungsschlüssel die Teilung von Amtes wegen durchzuführen hat, nachdem ihm die Streitsache überwiesen worden ist (Abs. 1). Die Ehegatten und die Einrichtungen der beruflichen Vorsorge haben in diesem Verfahren Parteistellung. Das Gericht setzt ihnen eine angemessene Frist, um Anträge zu stellen (Abs. 2).</w:t>
      </w:r>
    </w:p>
    <w:p>
      <w:r>
        <w:rPr>
          <w:b/>
        </w:rPr>
        <w:t>E. 3.3</w:t>
      </w:r>
    </w:p>
    <w:p>
      <w:r>
        <w:t>Für die unter Art. 122 ZGB fallenden und im Rahmen der Ehescheidung zu teilenden Austrittsleistungen der beruflichen Vorsorge hat der Gesetzgeber mit der Einführung des neuen Scheidungsrechts in den Art. 141/142 ZGB und Art. 25a FZG das Scheidungsverfahren mit den Verfahren über Ansprüche aus der beruflichen Vorsorge koordiniert und auf eine neue Grundlage gestellt (bundesrätliche Botschaft, a.a.O., S. 111 oben). Namentlich wollte er in diese Koordination nicht nur die Vorsorgeeinrichtungen, sondern auch die Freizügigkeitseinrichtungen miteinbeziehen. Aus diesem Grund hat er in den Art. 141/142 ZGB und Art. 25a Abs. 2 FZG bewusst den Terminus "Einrichtungen der beruflichen Vorsorge" ("institutions de prévoyance professionnelle"; "istituti di previdenza professionale") gewählt und nicht etwa die in Art. 48 ff. BVG enthaltene Wendung "Vorsorgeeinrichtungen" (bundesrätliche Botschaft, a.a.O., S. 103 oben; SUTTER/FREIBURGHAUS, a.a.O., S. 195 Rz 12). Angesichts der gesetzgeberischen Koordinationsbestrebungen macht es denn auch keinen Sinn, das im Falle von Art. 142 ZGB einzuschlagende Verfahren seinerseits wieder zu splitten, je nachdem ob eine Vorsorgeeinrichtung oder eine Freizügigkeitseinrichtung (Lebensversicherungs-Gesellschaft oder Bank) für BGE 130 V 111 S. 116 eine der Scheidungsparteien ein Vorsorgekonto oder eine Freizügigkeitspolice führt. Die von der Vorinstanz vertretene Auffassung widerspricht nicht nur der Verfahrensökonomie, sondern auch dem in Art. 122 Abs. 2 ZGB enthaltenen Grundsatz, wonach bei gegenseitigen Ansprüchen auf Austrittsleistung nur der Differenzbetrag zu teilen ist ( BGE 129 V 251 ). Im Schrifttum wird denn auch überwiegend die Zuständigkeit des Sozialversicherungsgerichts für sämtliche zu teilenden Austrittsleistungen der beruflichen Vorsorge bejaht (SCHNEIDER/BRUCHEZ, a.a.O., S. 215, insbesondere Fn 96, S. 253; SUTTER/FREIBURGHAUS, a.a.O., S. 195 Rz 12; VETTERLI/ KEEL, Die Aufteilung der beruflichen Vorsorge in der Scheidung, in: AJP 1999 S. 1625 f.). Eine andere Vorgehensweise läuft nicht nur der Prozessökonomie zuwider, sondern wäre unpraktikabel und praktisch überhaupt nicht durchführbar. VETTERLI/KEEL (a.a.O., S. 1626) halten eine Gabelung des Rechtswegs denn auch zu Recht für "undenkbar". Andernfalls müssten sich nicht nur das Scheidungsgericht und das Sozialversicherungsgericht mit der Aufgabe der Teilung der Austrittsleistungen bei Ehescheidung befassen, sondern zusätzlich noch ein anderes Zivilgericht, mit welchem das Sozialversicherungsgericht sein Verfahren und Urteil abstimmen müsste. Neben der Zweiteilung des Verfahrens zwischen dem Scheidungsgericht und dem Sozialversicherungsgericht hat der Gesetzgeber nicht noch eine weitere Gabelung und Zersplitterung der richterlichen Zuständigkeit für die Teilung der Austrittsleistungen gewollt oder in Kauf genommen (bundesrätliche Botschaft, a.a.O., S. 111 und Amtl.Bull.1996 S 769 [Votum Berichterstatterin Beerli] sprechen denn auch von einer "Zweiteilung des Verfahrens").</w:t>
      </w:r>
    </w:p>
    <w:p>
      <w:r>
        <w:rPr>
          <w:b/>
        </w:rPr>
        <w:t>E. 3.4</w:t>
      </w:r>
    </w:p>
    <w:p>
      <w:r>
        <w:t>Demnach hat der Gesetzgeber mit Art. 25a FZG für die Teilung der Austrittsleistungen (samt Freizügigkeitsguthaben) die sachliche Zuständigkeit der Sozialversicherungsgerichte auch hinsichtlich der Freizügigkeitspolicen und Freizügigkeitskonti umfassend geregelt und auf alle Einrichtungen der beruflichen Vorsorge ausgedehnt. Dies übersehen das kantonale Gericht und die von ihm in der Vernehmlassung zitierten Äusserungen im Schrifttum (BAUMANN/ LAUTERBURG, a.a.O., N 7 ff. Vorbemerkungen zu Art. 141/ 142 ZGB; CHRISTIAN ZÜND, Besonderheiten des Verfahrens vor Sozialversicherungsgericht [u.a. Art. 142 ZGB ], in: Aktuelles im Sozialversicherungsrecht, Zürich 2001, S. 170 f.), welche sich zudem zu sehr an die bisherige Rechtsprechung (Erw. 3.1.3 hievor) anlehnen. Daran ändert auch der Hinweis auf die erste BVG-Revision nichts, BGE 130 V 111 S. 117 wonach die Zuständigkeit gemäss Art. 73 Abs. 1 lit. a BVG (in der Fassung vom 3. Oktober 2003) explizit auf Freizügigkeitseinrichtungen, die Freizügigkeitspolicen oder Freizügigkeitskonti führen, ausgedehnt worden ist (dazu ERIKA SCHNYDER, La première révision de la LPP, in: Les assurances sociales en révision, Lausanne 2002, S. 74 f.). Die hier zu beurteilende Konstellation der Teilung der Austrittsleistungen im Scheidungsfall betrifft lediglich einen Anwendungsfall von möglichen Streitigkeiten, die sich mit Freizügigkeitseinrichtungen ergeben können. Wesentlich ist, dass der (Scheidungs-)Gesetzgeber für die bei Ehescheidung zu teilenden Ansprüche aus der beruflichen Vorsorge in Art. 25a FZG bereits eine Regelung getroffen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